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213481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213481">
        <w:rPr>
          <w:rFonts w:ascii="GHEA Grapalat" w:hAnsi="GHEA Grapalat"/>
          <w:b/>
          <w:i w:val="0"/>
          <w:lang w:val="af-ZA"/>
        </w:rPr>
        <w:t>ՀԱՅՏԱՐԱՐՈՒԹՅՈՒՆ</w:t>
      </w:r>
    </w:p>
    <w:p w:rsidR="00566C9B" w:rsidRPr="00213481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213481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  <w:r w:rsidR="00213481" w:rsidRPr="00213481">
        <w:rPr>
          <w:rFonts w:ascii="GHEA Grapalat" w:hAnsi="GHEA Grapalat"/>
          <w:b/>
          <w:i w:val="0"/>
          <w:lang w:val="af-ZA"/>
        </w:rPr>
        <w:t xml:space="preserve"> </w:t>
      </w:r>
      <w:r w:rsidR="00213481" w:rsidRPr="00213481">
        <w:rPr>
          <w:rFonts w:ascii="GHEA Grapalat" w:hAnsi="GHEA Grapalat"/>
          <w:b/>
          <w:i w:val="0"/>
          <w:color w:val="FF0000"/>
          <w:lang w:val="af-ZA"/>
        </w:rPr>
        <w:t>(ՓՈՓՈԽՎԱԾ)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</w:t>
      </w:r>
      <w:r w:rsidR="00876AA7">
        <w:rPr>
          <w:rFonts w:ascii="GHEA Grapalat" w:hAnsi="GHEA Grapalat"/>
          <w:b/>
          <w:lang w:val="es-ES"/>
        </w:rPr>
        <w:t>ՓՊՄԾՁԲ-20/195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66C9B" w:rsidRPr="002363A7" w:rsidRDefault="002363A7" w:rsidP="002363A7">
      <w:pPr>
        <w:pStyle w:val="norm"/>
        <w:tabs>
          <w:tab w:val="left" w:pos="1260"/>
        </w:tabs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1.</w:t>
      </w:r>
      <w:r w:rsidR="00566C9B" w:rsidRPr="002363A7">
        <w:rPr>
          <w:rFonts w:ascii="GHEA Grapalat" w:hAnsi="GHEA Grapalat"/>
          <w:lang w:val="af-ZA"/>
        </w:rPr>
        <w:t xml:space="preserve">Պատվիրատուն` </w:t>
      </w:r>
      <w:r w:rsidR="000C4947" w:rsidRPr="002363A7">
        <w:rPr>
          <w:rFonts w:ascii="GHEA Grapalat" w:hAnsi="GHEA Grapalat"/>
          <w:lang w:val="af-ZA"/>
        </w:rPr>
        <w:t>ՀՀ պաշտպանության նախարարություն, որը գտնվում է ք. Երևան, Բագրևանդի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 xml:space="preserve">5 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հասցեում,</w:t>
      </w:r>
      <w:r w:rsidR="008055D5">
        <w:rPr>
          <w:rFonts w:ascii="GHEA Grapalat" w:hAnsi="GHEA Grapalat"/>
          <w:lang w:val="af-ZA"/>
        </w:rPr>
        <w:t xml:space="preserve"> </w:t>
      </w:r>
      <w:r w:rsidR="005E43D4" w:rsidRPr="0030765C">
        <w:rPr>
          <w:rFonts w:ascii="GHEA Grapalat" w:hAnsi="GHEA Grapalat"/>
          <w:color w:val="FF0000"/>
          <w:szCs w:val="22"/>
          <w:lang w:val="af-ZA"/>
        </w:rPr>
        <w:t>«</w:t>
      </w:r>
      <w:r w:rsidR="005E43D4" w:rsidRPr="0030765C">
        <w:rPr>
          <w:rFonts w:ascii="GHEA Grapalat" w:eastAsia="Calibri" w:hAnsi="GHEA Grapalat" w:cs="Arial"/>
          <w:color w:val="FF0000"/>
          <w:szCs w:val="22"/>
          <w:lang w:val="fr-FR"/>
        </w:rPr>
        <w:t>Հաղորդակցման և կապի միջոցների նորոգման</w:t>
      </w:r>
      <w:r w:rsidR="005E43D4" w:rsidRPr="0030765C">
        <w:rPr>
          <w:rFonts w:ascii="GHEA Grapalat" w:hAnsi="GHEA Grapalat"/>
          <w:szCs w:val="22"/>
        </w:rPr>
        <w:t xml:space="preserve"> </w:t>
      </w:r>
      <w:r w:rsidR="005E43D4" w:rsidRPr="0030765C">
        <w:rPr>
          <w:rFonts w:ascii="GHEA Grapalat" w:hAnsi="GHEA Grapalat"/>
          <w:color w:val="FF0000"/>
          <w:szCs w:val="22"/>
        </w:rPr>
        <w:t>ծառայությունների»</w:t>
      </w:r>
      <w:r w:rsidR="008055D5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="00566C9B" w:rsidRPr="002363A7">
        <w:rPr>
          <w:rFonts w:ascii="GHEA Grapalat" w:hAnsi="GHEA Grapalat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Default="00566C9B" w:rsidP="00566C9B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5E43D4" w:rsidRPr="002363A7">
        <w:rPr>
          <w:rFonts w:ascii="GHEA Grapalat" w:hAnsi="GHEA Grapalat"/>
          <w:color w:val="FF0000"/>
          <w:lang w:val="af-ZA"/>
        </w:rPr>
        <w:t>«</w:t>
      </w:r>
      <w:r w:rsidR="005E43D4">
        <w:rPr>
          <w:rFonts w:ascii="GHEA Grapalat" w:eastAsia="Calibri" w:hAnsi="GHEA Grapalat" w:cs="Arial"/>
          <w:color w:val="FF0000"/>
          <w:lang w:val="fr-FR"/>
        </w:rPr>
        <w:t>էլեկտրոտեխնիկայի և/կամ հաղորդակցման և կապի միջոցների նորոգման</w:t>
      </w:r>
      <w:r w:rsidR="005E43D4" w:rsidRPr="002363A7">
        <w:rPr>
          <w:rFonts w:ascii="GHEA Grapalat" w:hAnsi="GHEA Grapalat"/>
          <w:color w:val="FF0000"/>
          <w:lang w:val="af-ZA"/>
        </w:rPr>
        <w:t>»</w:t>
      </w:r>
      <w:r w:rsidR="00C75ECC">
        <w:rPr>
          <w:rFonts w:ascii="GHEA Grapalat" w:hAnsi="GHEA Grapalat"/>
          <w:color w:val="FF0000"/>
          <w:lang w:val="af-ZA"/>
        </w:rPr>
        <w:t xml:space="preserve"> </w:t>
      </w:r>
      <w:r w:rsidR="008055D5">
        <w:rPr>
          <w:rFonts w:ascii="GHEA Grapalat" w:hAnsi="GHEA Grapalat"/>
          <w:color w:val="FF0000"/>
          <w:lang w:val="af-ZA"/>
        </w:rPr>
        <w:t xml:space="preserve"> </w:t>
      </w:r>
      <w:r w:rsidR="008055D5" w:rsidRPr="00AA0A17">
        <w:rPr>
          <w:rFonts w:ascii="GHEA Grapalat" w:hAnsi="GHEA Grapalat"/>
          <w:sz w:val="20"/>
          <w:lang w:val="af-ZA"/>
        </w:rPr>
        <w:t>ծառայություն</w:t>
      </w:r>
      <w:r w:rsidRPr="00AA0A17">
        <w:rPr>
          <w:rFonts w:ascii="GHEA Grapalat" w:hAnsi="GHEA Grapalat"/>
          <w:sz w:val="20"/>
          <w:lang w:val="af-ZA"/>
        </w:rPr>
        <w:t xml:space="preserve">ների </w:t>
      </w:r>
      <w:r w:rsidR="008055D5" w:rsidRPr="00AA0A17">
        <w:rPr>
          <w:rFonts w:ascii="GHEA Grapalat" w:hAnsi="GHEA Grapalat"/>
          <w:sz w:val="20"/>
          <w:lang w:val="af-ZA"/>
        </w:rPr>
        <w:t>մատուցված</w:t>
      </w:r>
      <w:r>
        <w:rPr>
          <w:rFonts w:ascii="GHEA Grapalat" w:hAnsi="GHEA Grapalat"/>
          <w:sz w:val="20"/>
          <w:lang w:val="af-ZA"/>
        </w:rPr>
        <w:t xml:space="preserve"> լինելը: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lastRenderedPageBreak/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</w:t>
      </w:r>
      <w:r w:rsidR="00876AA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ՓՊՄԾՁԲ-20/195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213481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Pr="00F8070E">
        <w:rPr>
          <w:rFonts w:ascii="GHEA Grapalat" w:hAnsi="GHEA Grapalat" w:cs="Sylfaen"/>
          <w:lang w:val="en-US"/>
        </w:rPr>
        <w:t>Փաստաթղթային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en-US"/>
        </w:rPr>
        <w:t>ձևով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en-US"/>
        </w:rPr>
        <w:t>նախաորակավորման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ru-RU"/>
        </w:rPr>
        <w:t>հայտերը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en-US"/>
        </w:rPr>
        <w:t>անհրաժեշտ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en-US"/>
        </w:rPr>
        <w:t>է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 w:cs="Sylfaen"/>
          <w:lang w:val="en-US"/>
        </w:rPr>
        <w:t>ներկայացնել</w:t>
      </w:r>
      <w:r w:rsidRPr="00F8070E">
        <w:rPr>
          <w:rFonts w:ascii="GHEA Grapalat" w:hAnsi="GHEA Grapalat" w:cs="Sylfaen"/>
        </w:rPr>
        <w:t xml:space="preserve"> </w:t>
      </w:r>
      <w:r w:rsidRPr="00F8070E">
        <w:rPr>
          <w:rFonts w:ascii="GHEA Grapalat" w:hAnsi="GHEA Grapalat"/>
          <w:color w:val="FF0000"/>
          <w:lang w:val="es-ES"/>
        </w:rPr>
        <w:t>ՀՀ</w:t>
      </w:r>
      <w:r w:rsidRPr="00F8070E">
        <w:rPr>
          <w:rFonts w:ascii="GHEA Grapalat" w:hAnsi="GHEA Grapalat"/>
          <w:color w:val="FF0000"/>
        </w:rPr>
        <w:t xml:space="preserve"> </w:t>
      </w:r>
      <w:r w:rsidRPr="00F8070E">
        <w:rPr>
          <w:rFonts w:ascii="GHEA Grapalat" w:hAnsi="GHEA Grapalat"/>
          <w:color w:val="FF0000"/>
          <w:lang w:val="es-ES"/>
        </w:rPr>
        <w:t>ՊՆ</w:t>
      </w:r>
      <w:r w:rsidRPr="00F8070E">
        <w:rPr>
          <w:rFonts w:ascii="GHEA Grapalat" w:hAnsi="GHEA Grapalat"/>
          <w:color w:val="FF0000"/>
        </w:rPr>
        <w:t xml:space="preserve"> </w:t>
      </w:r>
      <w:r w:rsidRPr="00F8070E">
        <w:rPr>
          <w:rFonts w:ascii="GHEA Grapalat" w:hAnsi="GHEA Grapalat"/>
          <w:color w:val="FF0000"/>
          <w:lang w:val="es-ES"/>
        </w:rPr>
        <w:t>գնումների կազմակերպման</w:t>
      </w:r>
      <w:r w:rsidRPr="00F8070E">
        <w:rPr>
          <w:rFonts w:ascii="GHEA Grapalat" w:hAnsi="GHEA Grapalat"/>
          <w:color w:val="FF0000"/>
        </w:rPr>
        <w:t xml:space="preserve"> </w:t>
      </w:r>
      <w:r w:rsidRPr="00F8070E">
        <w:rPr>
          <w:rFonts w:ascii="GHEA Grapalat" w:hAnsi="GHEA Grapalat"/>
          <w:color w:val="FF0000"/>
          <w:lang w:val="es-ES"/>
        </w:rPr>
        <w:t>վարչություն</w:t>
      </w:r>
      <w:r w:rsidRPr="00F8070E">
        <w:rPr>
          <w:rFonts w:ascii="GHEA Grapalat" w:hAnsi="GHEA Grapalat"/>
          <w:color w:val="FF0000"/>
        </w:rPr>
        <w:t>`</w:t>
      </w:r>
      <w:r w:rsidRPr="00F8070E">
        <w:rPr>
          <w:rFonts w:ascii="GHEA Grapalat" w:hAnsi="GHEA Grapalat"/>
        </w:rPr>
        <w:t xml:space="preserve"> </w:t>
      </w:r>
      <w:r w:rsidRPr="00F8070E">
        <w:rPr>
          <w:rFonts w:ascii="GHEA Grapalat" w:hAnsi="GHEA Grapalat"/>
          <w:lang w:val="es-ES"/>
        </w:rPr>
        <w:t>ք</w:t>
      </w:r>
      <w:r w:rsidRPr="00F8070E">
        <w:rPr>
          <w:rFonts w:ascii="GHEA Grapalat" w:hAnsi="GHEA Grapalat"/>
        </w:rPr>
        <w:t xml:space="preserve">. </w:t>
      </w:r>
      <w:r w:rsidRPr="00F8070E">
        <w:rPr>
          <w:rFonts w:ascii="GHEA Grapalat" w:hAnsi="GHEA Grapalat"/>
          <w:lang w:val="es-ES"/>
        </w:rPr>
        <w:t>Երևան</w:t>
      </w:r>
      <w:r w:rsidRPr="00F8070E">
        <w:rPr>
          <w:rFonts w:ascii="GHEA Grapalat" w:hAnsi="GHEA Grapalat"/>
        </w:rPr>
        <w:t xml:space="preserve">, </w:t>
      </w:r>
      <w:r w:rsidRPr="00F8070E">
        <w:rPr>
          <w:rFonts w:ascii="GHEA Grapalat" w:hAnsi="GHEA Grapalat"/>
          <w:lang w:val="es-ES"/>
        </w:rPr>
        <w:t>Բագրևանդի</w:t>
      </w:r>
      <w:r w:rsidRPr="00F8070E">
        <w:rPr>
          <w:rFonts w:ascii="GHEA Grapalat" w:hAnsi="GHEA Grapalat"/>
        </w:rPr>
        <w:t xml:space="preserve"> 5 </w:t>
      </w:r>
      <w:r w:rsidRPr="00F8070E">
        <w:rPr>
          <w:rFonts w:ascii="GHEA Grapalat" w:hAnsi="GHEA Grapalat"/>
          <w:lang w:val="es-ES"/>
        </w:rPr>
        <w:t>հասցեով</w:t>
      </w:r>
      <w:r w:rsidRPr="00F8070E">
        <w:rPr>
          <w:rFonts w:ascii="GHEA Grapalat" w:hAnsi="GHEA Grapalat"/>
        </w:rPr>
        <w:t xml:space="preserve">`  </w:t>
      </w:r>
      <w:r w:rsidRPr="00F8070E">
        <w:rPr>
          <w:rFonts w:ascii="GHEA Grapalat" w:hAnsi="GHEA Grapalat"/>
          <w:b/>
        </w:rPr>
        <w:t xml:space="preserve">№ 2072 </w:t>
      </w:r>
      <w:r w:rsidRPr="00F8070E">
        <w:rPr>
          <w:rFonts w:ascii="GHEA Grapalat" w:hAnsi="GHEA Grapalat"/>
          <w:b/>
          <w:lang w:val="es-ES"/>
        </w:rPr>
        <w:t>սենյակ</w:t>
      </w:r>
      <w:r w:rsidRPr="00F8070E">
        <w:rPr>
          <w:rFonts w:ascii="GHEA Grapalat" w:hAnsi="GHEA Grapalat"/>
          <w:b/>
        </w:rPr>
        <w:t xml:space="preserve">, </w:t>
      </w:r>
      <w:r w:rsidRPr="00F8070E">
        <w:rPr>
          <w:rFonts w:ascii="GHEA Grapalat" w:hAnsi="GHEA Grapalat"/>
          <w:color w:val="FF0000"/>
        </w:rPr>
        <w:t xml:space="preserve">գնումները համակարգող </w:t>
      </w:r>
      <w:r w:rsidRPr="00F8070E">
        <w:rPr>
          <w:rFonts w:ascii="GHEA Grapalat" w:hAnsi="GHEA Grapalat" w:cs="Sylfaen"/>
          <w:color w:val="FF0000"/>
          <w:lang w:val="en-US"/>
        </w:rPr>
        <w:t>ՀՀ</w:t>
      </w:r>
      <w:r w:rsidRPr="00F8070E">
        <w:rPr>
          <w:rFonts w:ascii="GHEA Grapalat" w:hAnsi="GHEA Grapalat" w:cs="Sylfaen"/>
          <w:color w:val="FF0000"/>
        </w:rPr>
        <w:t xml:space="preserve"> </w:t>
      </w:r>
      <w:r w:rsidRPr="00F8070E">
        <w:rPr>
          <w:rFonts w:ascii="GHEA Grapalat" w:hAnsi="GHEA Grapalat" w:cs="Sylfaen"/>
          <w:color w:val="FF0000"/>
          <w:lang w:val="en-US"/>
        </w:rPr>
        <w:t>ՊՆ</w:t>
      </w:r>
      <w:r w:rsidRPr="00F8070E">
        <w:rPr>
          <w:rFonts w:ascii="GHEA Grapalat" w:hAnsi="GHEA Grapalat" w:cs="Sylfaen"/>
          <w:color w:val="FF0000"/>
        </w:rPr>
        <w:t xml:space="preserve"> </w:t>
      </w:r>
      <w:r w:rsidRPr="00F8070E">
        <w:rPr>
          <w:rFonts w:ascii="GHEA Grapalat" w:hAnsi="GHEA Grapalat"/>
          <w:color w:val="FF0000"/>
          <w:lang w:val="es-ES"/>
        </w:rPr>
        <w:t>գնումների կազմակերպման</w:t>
      </w:r>
      <w:r w:rsidRPr="00F8070E">
        <w:rPr>
          <w:rFonts w:ascii="GHEA Grapalat" w:hAnsi="GHEA Grapalat" w:cs="Sylfaen"/>
          <w:color w:val="FF0000"/>
        </w:rPr>
        <w:t xml:space="preserve"> </w:t>
      </w:r>
      <w:r w:rsidRPr="00F8070E">
        <w:rPr>
          <w:rFonts w:ascii="GHEA Grapalat" w:hAnsi="GHEA Grapalat" w:cs="Sylfaen"/>
          <w:color w:val="FF0000"/>
          <w:lang w:val="en-US"/>
        </w:rPr>
        <w:t>վարչության</w:t>
      </w:r>
      <w:r w:rsidRPr="00F8070E">
        <w:rPr>
          <w:rFonts w:ascii="GHEA Grapalat" w:hAnsi="GHEA Grapalat" w:cs="Sylfaen"/>
          <w:color w:val="FF0000"/>
        </w:rPr>
        <w:t xml:space="preserve"> ԳԿ 1-ին բաժնի ավագ մասնագետ Ս. Եսոյանին</w:t>
      </w:r>
      <w:r w:rsidRPr="00F8070E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566C9B" w:rsidRPr="00752623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b/>
          <w:lang w:val="hy-AM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</w:t>
      </w:r>
      <w:r>
        <w:rPr>
          <w:rFonts w:ascii="GHEA Grapalat" w:hAnsi="GHEA Grapalat"/>
          <w:b/>
          <w:lang w:val="af-ZA"/>
        </w:rPr>
        <w:t>V.</w:t>
      </w:r>
      <w:r w:rsidRPr="00752623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 xml:space="preserve">ՆԱԽԱՈՐԱԿԱՎՈՐՄԱՆ </w:t>
      </w:r>
      <w:r w:rsidRPr="00752623">
        <w:rPr>
          <w:rFonts w:ascii="GHEA Grapalat" w:hAnsi="GHEA Grapalat"/>
          <w:b/>
          <w:lang w:val="af-ZA"/>
        </w:rPr>
        <w:t>ՀԱՅՏԵՐԻ ԲԱՑՈՒՄԸ</w:t>
      </w:r>
      <w:r w:rsidRPr="00752623">
        <w:rPr>
          <w:rFonts w:ascii="GHEA Grapalat" w:hAnsi="GHEA Grapalat"/>
          <w:b/>
          <w:lang w:val="hy-AM"/>
        </w:rPr>
        <w:t xml:space="preserve">, </w:t>
      </w:r>
      <w:r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213481" w:rsidRPr="004803EF" w:rsidRDefault="00566C9B" w:rsidP="00213481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213481"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213481">
        <w:rPr>
          <w:rFonts w:ascii="GHEA Grapalat" w:hAnsi="GHEA Grapalat" w:cs="Sylfaen"/>
          <w:sz w:val="20"/>
          <w:szCs w:val="20"/>
          <w:lang w:val="af-ZA"/>
        </w:rPr>
        <w:t>7</w:t>
      </w:r>
      <w:r w:rsidR="00213481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նյութատեխնիկական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ապահովման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դեպարտամենտում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13481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213481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213481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213481" w:rsidRPr="004803EF" w:rsidRDefault="00213481" w:rsidP="00213481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213481" w:rsidRPr="004803EF" w:rsidRDefault="00213481" w:rsidP="00213481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lastRenderedPageBreak/>
        <w:t>1</w:t>
      </w:r>
      <w:r>
        <w:rPr>
          <w:rFonts w:ascii="GHEA Grapalat" w:hAnsi="GHEA Grapalat" w:cs="Sylfaen"/>
          <w:sz w:val="20"/>
          <w:szCs w:val="20"/>
          <w:lang w:val="af-ZA"/>
        </w:rPr>
        <w:t>8</w:t>
      </w:r>
      <w:r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213481" w:rsidRPr="00847C84" w:rsidRDefault="00213481" w:rsidP="0021348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213481" w:rsidRPr="00847C84" w:rsidRDefault="00213481" w:rsidP="0021348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213481" w:rsidRPr="00847C84" w:rsidRDefault="00213481" w:rsidP="00213481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213481" w:rsidRPr="004803EF" w:rsidRDefault="00213481" w:rsidP="00213481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>հայտարարության 18-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213481" w:rsidRPr="004803EF" w:rsidRDefault="00213481" w:rsidP="00213481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>. Գ</w:t>
      </w:r>
      <w:r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չի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կարող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</w:t>
      </w:r>
      <w:r w:rsidRPr="004803EF">
        <w:rPr>
          <w:rFonts w:ascii="GHEA Grapalat" w:hAnsi="GHEA Grapalat" w:cs="Sylfaen"/>
        </w:rPr>
        <w:t xml:space="preserve"> ն</w:t>
      </w:r>
      <w:r w:rsidRPr="004803EF">
        <w:rPr>
          <w:rFonts w:ascii="GHEA Grapalat" w:hAnsi="GHEA Grapalat" w:cs="Sylfaen"/>
          <w:lang w:val="es-ES"/>
        </w:rPr>
        <w:t>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s-ES"/>
        </w:rPr>
        <w:t>հայտերի</w:t>
      </w:r>
      <w:r w:rsidRPr="004803EF">
        <w:rPr>
          <w:rFonts w:ascii="GHEA Grapalat" w:hAnsi="GHEA Grapalat"/>
        </w:rPr>
        <w:t xml:space="preserve"> </w:t>
      </w:r>
      <w:r w:rsidRPr="004803EF">
        <w:rPr>
          <w:rFonts w:ascii="GHEA Grapalat" w:hAnsi="GHEA Grapalat" w:cs="Sylfaen"/>
          <w:lang w:val="es-ES"/>
        </w:rPr>
        <w:t xml:space="preserve">գնահատման 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աշխատանքներին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213481" w:rsidRPr="00A337AD" w:rsidRDefault="00213481" w:rsidP="00213481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color w:val="000000" w:themeColor="text1"/>
          <w:lang w:val="ru-RU"/>
        </w:rPr>
      </w:pPr>
      <w:r w:rsidRPr="004803EF"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.</w:t>
      </w:r>
      <w:r>
        <w:rPr>
          <w:rFonts w:ascii="GHEA Grapalat" w:hAnsi="GHEA Grapalat"/>
          <w:i w:val="0"/>
          <w:lang w:val="af-ZA"/>
        </w:rPr>
        <w:t xml:space="preserve"> </w:t>
      </w:r>
      <w:r w:rsidRPr="00A337AD">
        <w:rPr>
          <w:rFonts w:ascii="GHEA Grapalat" w:hAnsi="GHEA Grapalat" w:cs="Sylfaen"/>
          <w:i w:val="0"/>
          <w:color w:val="000000" w:themeColor="text1"/>
          <w:lang w:val="ru-RU"/>
        </w:rPr>
        <w:t>Փակ պարբերական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213481" w:rsidRPr="00A337AD" w:rsidRDefault="00213481" w:rsidP="0021348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lang w:val="ru-RU"/>
        </w:rPr>
      </w:pPr>
      <w:r w:rsidRPr="00A337AD">
        <w:rPr>
          <w:rFonts w:ascii="GHEA Grapalat" w:hAnsi="GHEA Grapalat" w:cs="Sylfaen"/>
          <w:i w:val="0"/>
          <w:color w:val="000000" w:themeColor="text1"/>
          <w:lang w:val="ru-RU"/>
        </w:rPr>
        <w:t>1) ՀՀ ռեզիդենտ հանդիսացող անձանց դեպքում`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213481" w:rsidRPr="00A337AD" w:rsidRDefault="00213481" w:rsidP="0021348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lang w:val="ru-RU"/>
        </w:rPr>
      </w:pPr>
      <w:r w:rsidRPr="00A337AD">
        <w:rPr>
          <w:rFonts w:ascii="GHEA Grapalat" w:hAnsi="GHEA Grapalat" w:cs="Sylfaen"/>
          <w:i w:val="0"/>
          <w:color w:val="000000" w:themeColor="text1"/>
          <w:lang w:val="ru-RU"/>
        </w:rPr>
        <w:t>2) ՀՀ ռեզիդենտ չհանդիսացող անձանց դեպքում`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պատճենը, և ՀՀ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լիցենզիայի պատճենը, ինչպես նաև պետական գաղտնիք պարունակող տեղեկատվության պահպանման մասին պարտավորագրի բնօրինակը:</w:t>
      </w:r>
    </w:p>
    <w:p w:rsidR="00213481" w:rsidRPr="00A337AD" w:rsidRDefault="00213481" w:rsidP="0021348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lang w:val="ru-RU"/>
        </w:rPr>
      </w:pPr>
      <w:r w:rsidRPr="00A337AD">
        <w:rPr>
          <w:rFonts w:ascii="GHEA Grapalat" w:hAnsi="GHEA Grapalat" w:cs="Sylfaen"/>
          <w:i w:val="0"/>
          <w:color w:val="000000" w:themeColor="text1"/>
          <w:lang w:val="ru-RU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213481" w:rsidRDefault="00213481" w:rsidP="0021348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337AD">
        <w:rPr>
          <w:rFonts w:ascii="GHEA Grapalat" w:hAnsi="GHEA Grapalat" w:cs="Sylfaen"/>
          <w:i w:val="0"/>
          <w:color w:val="000000" w:themeColor="text1"/>
          <w:lang w:val="ru-RU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սույն կետում նշված փաստաթղթերը: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  <w:r w:rsidRPr="004803EF">
        <w:rPr>
          <w:rFonts w:ascii="GHEA Grapalat" w:hAnsi="GHEA Grapalat"/>
          <w:i w:val="0"/>
          <w:lang w:val="af-ZA"/>
        </w:rPr>
        <w:tab/>
      </w:r>
    </w:p>
    <w:p w:rsidR="00213481" w:rsidRPr="004803EF" w:rsidRDefault="00213481" w:rsidP="0021348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22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55E97" w:rsidRPr="004803EF" w:rsidRDefault="00213481" w:rsidP="00213481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t>Ս</w:t>
      </w:r>
      <w:r w:rsidRPr="004803EF">
        <w:rPr>
          <w:rFonts w:ascii="GHEA Grapalat" w:hAnsi="GHEA Grapalat"/>
          <w:lang w:val="af-ZA"/>
        </w:rPr>
        <w:t xml:space="preserve">ույն հայտարարության հետ կապված լրացուցիչ տեղեկություններ ստանալու համար կարող եք </w:t>
      </w:r>
      <w:r w:rsidRPr="00A337AD">
        <w:rPr>
          <w:rFonts w:ascii="GHEA Grapalat" w:hAnsi="GHEA Grapalat" w:cs="Sylfaen"/>
          <w:color w:val="000000" w:themeColor="text1"/>
          <w:lang w:val="ru-RU"/>
        </w:rPr>
        <w:t xml:space="preserve">ՀՀ ՊՆ </w:t>
      </w:r>
      <w:r w:rsidRPr="00A337AD">
        <w:rPr>
          <w:rFonts w:ascii="GHEA Grapalat" w:hAnsi="GHEA Grapalat" w:cs="Sylfaen"/>
          <w:color w:val="000000" w:themeColor="text1"/>
        </w:rPr>
        <w:t>գնումների կազմակերպման</w:t>
      </w:r>
      <w:r w:rsidRPr="00A337AD">
        <w:rPr>
          <w:rFonts w:ascii="GHEA Grapalat" w:hAnsi="GHEA Grapalat" w:cs="Sylfaen"/>
          <w:color w:val="000000" w:themeColor="text1"/>
          <w:lang w:val="ru-RU"/>
        </w:rPr>
        <w:t xml:space="preserve"> վարչություն`</w:t>
      </w:r>
      <w:r>
        <w:rPr>
          <w:rFonts w:ascii="GHEA Grapalat" w:hAnsi="GHEA Grapalat"/>
          <w:lang w:val="af-ZA"/>
        </w:rPr>
        <w:t xml:space="preserve"> </w:t>
      </w:r>
      <w:r w:rsidRPr="004803EF">
        <w:rPr>
          <w:rFonts w:ascii="GHEA Grapalat" w:hAnsi="GHEA Grapalat"/>
          <w:lang w:val="es-ES"/>
        </w:rPr>
        <w:t>ք</w:t>
      </w:r>
      <w:r w:rsidRPr="004803EF">
        <w:rPr>
          <w:rFonts w:ascii="GHEA Grapalat" w:hAnsi="GHEA Grapalat"/>
          <w:lang w:val="af-ZA"/>
        </w:rPr>
        <w:t xml:space="preserve">. </w:t>
      </w:r>
      <w:r w:rsidRPr="004803EF">
        <w:rPr>
          <w:rFonts w:ascii="GHEA Grapalat" w:hAnsi="GHEA Grapalat"/>
          <w:lang w:val="es-ES"/>
        </w:rPr>
        <w:t>Երևան</w:t>
      </w:r>
      <w:r w:rsidRPr="004803EF">
        <w:rPr>
          <w:rFonts w:ascii="GHEA Grapalat" w:hAnsi="GHEA Grapalat"/>
          <w:lang w:val="af-ZA"/>
        </w:rPr>
        <w:t xml:space="preserve">, </w:t>
      </w:r>
      <w:r w:rsidRPr="004803EF">
        <w:rPr>
          <w:rFonts w:ascii="GHEA Grapalat" w:hAnsi="GHEA Grapalat"/>
          <w:lang w:val="es-ES"/>
        </w:rPr>
        <w:t>Բագրևանդի</w:t>
      </w:r>
      <w:r w:rsidRPr="004803EF">
        <w:rPr>
          <w:rFonts w:ascii="GHEA Grapalat" w:hAnsi="GHEA Grapalat"/>
          <w:lang w:val="af-ZA"/>
        </w:rPr>
        <w:t xml:space="preserve"> 5 </w:t>
      </w:r>
      <w:r w:rsidRPr="004803EF">
        <w:rPr>
          <w:rFonts w:ascii="GHEA Grapalat" w:hAnsi="GHEA Grapalat"/>
          <w:lang w:val="es-ES"/>
        </w:rPr>
        <w:t>հասցեով</w:t>
      </w:r>
      <w:r w:rsidRPr="004803EF">
        <w:rPr>
          <w:rFonts w:ascii="GHEA Grapalat" w:hAnsi="GHEA Grapalat"/>
          <w:lang w:val="af-ZA"/>
        </w:rPr>
        <w:t xml:space="preserve">`  </w:t>
      </w:r>
      <w:r w:rsidRPr="004803EF">
        <w:rPr>
          <w:rFonts w:ascii="GHEA Grapalat" w:hAnsi="GHEA Grapalat"/>
          <w:b/>
          <w:lang w:val="af-ZA"/>
        </w:rPr>
        <w:t xml:space="preserve">№ 2072 </w:t>
      </w:r>
      <w:r w:rsidRPr="004803EF">
        <w:rPr>
          <w:rFonts w:ascii="GHEA Grapalat" w:hAnsi="GHEA Grapalat"/>
          <w:b/>
          <w:lang w:val="es-ES"/>
        </w:rPr>
        <w:t>սենյակ</w:t>
      </w:r>
      <w:r w:rsidRPr="004803EF">
        <w:rPr>
          <w:rFonts w:ascii="GHEA Grapalat" w:hAnsi="GHEA Grapalat"/>
          <w:b/>
          <w:lang w:val="af-ZA"/>
        </w:rPr>
        <w:t xml:space="preserve">, </w:t>
      </w:r>
      <w:r>
        <w:rPr>
          <w:rFonts w:ascii="GHEA Grapalat" w:hAnsi="GHEA Grapalat"/>
          <w:lang w:val="af-ZA"/>
        </w:rPr>
        <w:t>գնումներ համակարգող</w:t>
      </w:r>
      <w:r w:rsidRPr="004803EF">
        <w:rPr>
          <w:rFonts w:ascii="GHEA Grapalat" w:hAnsi="GHEA Grapalat"/>
          <w:lang w:val="af-ZA"/>
        </w:rPr>
        <w:t xml:space="preserve"> </w:t>
      </w:r>
      <w:r w:rsidRPr="00A337AD">
        <w:rPr>
          <w:rFonts w:ascii="GHEA Grapalat" w:hAnsi="GHEA Grapalat"/>
          <w:b/>
          <w:color w:val="FF0000"/>
          <w:lang w:val="es-ES"/>
        </w:rPr>
        <w:t>Ս. Եսոյանին</w:t>
      </w:r>
      <w:r w:rsidRPr="004803EF">
        <w:rPr>
          <w:rFonts w:ascii="GHEA Grapalat" w:hAnsi="GHEA Grapalat"/>
          <w:b/>
          <w:lang w:val="af-ZA"/>
        </w:rPr>
        <w:t xml:space="preserve">, </w:t>
      </w:r>
      <w:r w:rsidRPr="004803EF">
        <w:rPr>
          <w:rFonts w:ascii="GHEA Grapalat" w:hAnsi="GHEA Grapalat"/>
          <w:b/>
          <w:lang w:val="es-ES"/>
        </w:rPr>
        <w:t>հեռ</w:t>
      </w:r>
      <w:r w:rsidRPr="004803EF">
        <w:rPr>
          <w:rFonts w:ascii="GHEA Grapalat" w:hAnsi="GHEA Grapalat"/>
          <w:b/>
          <w:lang w:val="af-ZA"/>
        </w:rPr>
        <w:t>. /010/ 29-43-53</w:t>
      </w:r>
      <w:r>
        <w:rPr>
          <w:rFonts w:ascii="GHEA Grapalat" w:hAnsi="GHEA Grapalat"/>
          <w:b/>
          <w:lang w:val="af-ZA"/>
        </w:rPr>
        <w:t xml:space="preserve">, Էլ. փոստ. </w:t>
      </w:r>
      <w:hyperlink r:id="rId7" w:history="1">
        <w:r w:rsidRPr="0013434B">
          <w:rPr>
            <w:rStyle w:val="Hyperlink"/>
            <w:rFonts w:ascii="GHEA Grapalat" w:hAnsi="GHEA Grapalat"/>
            <w:b/>
            <w:lang w:val="af-ZA"/>
          </w:rPr>
          <w:t>s.esoyan@mil.am</w:t>
        </w:r>
      </w:hyperlink>
      <w:r w:rsidRPr="009E34C2">
        <w:rPr>
          <w:rFonts w:ascii="GHEA Grapalat" w:hAnsi="GHEA Grapalat"/>
          <w:b/>
          <w:color w:val="FF0000"/>
          <w:lang w:val="af-ZA"/>
        </w:rPr>
        <w:t xml:space="preserve"> </w:t>
      </w:r>
      <w:r w:rsidRPr="004803EF">
        <w:rPr>
          <w:rFonts w:ascii="GHEA Grapalat" w:hAnsi="GHEA Grapalat"/>
          <w:b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55E97" w:rsidRDefault="00566C9B" w:rsidP="00780570">
      <w:pPr>
        <w:jc w:val="both"/>
        <w:rPr>
          <w:rFonts w:ascii="GHEA Grapalat" w:hAnsi="GHEA Grapalat"/>
          <w:i/>
          <w:lang w:val="af-ZA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213481" w:rsidRDefault="00213481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</w:t>
      </w:r>
      <w:r w:rsidR="00876AA7">
        <w:rPr>
          <w:rFonts w:ascii="GHEA Grapalat" w:hAnsi="GHEA Grapalat"/>
          <w:b/>
          <w:lang w:val="es-ES"/>
        </w:rPr>
        <w:t>ՓՊՄԾՁԲ-20/195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</w:t>
      </w:r>
      <w:r w:rsidR="00876AA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ՓՊՄԾՁԲ-20/195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</w:t>
      </w:r>
      <w:r w:rsidR="00876AA7">
        <w:rPr>
          <w:rFonts w:ascii="GHEA Grapalat" w:hAnsi="GHEA Grapalat"/>
          <w:b/>
          <w:lang w:val="es-ES"/>
        </w:rPr>
        <w:t>ՓՊՄԾՁԲ-20/195</w:t>
      </w:r>
      <w:r w:rsidR="004803EF" w:rsidRPr="00437464">
        <w:rPr>
          <w:rFonts w:ascii="GHEA Grapalat" w:hAnsi="GHEA Grapalat"/>
          <w:b/>
          <w:lang w:val="es-ES"/>
        </w:rPr>
        <w:t>»</w:t>
      </w:r>
      <w:r w:rsidR="004803EF"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594706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ծառայություն</w:t>
      </w:r>
      <w:r w:rsidRPr="00AA0A17">
        <w:rPr>
          <w:rFonts w:ascii="GHEA Grapalat" w:eastAsia="Times New Roman" w:hAnsi="GHEA Grapalat" w:cs="Sylfaen"/>
          <w:sz w:val="20"/>
          <w:szCs w:val="20"/>
        </w:rPr>
        <w:t>ների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մատուցում</w:t>
      </w:r>
      <w:r w:rsidRPr="00AA0A17">
        <w:rPr>
          <w:rFonts w:ascii="GHEA Grapalat" w:eastAsia="Times New Roman" w:hAnsi="GHEA Grapalat" w:cs="Sylfaen"/>
          <w:sz w:val="20"/>
          <w:szCs w:val="20"/>
        </w:rPr>
        <w:t>ը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642500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9B" w:rsidRDefault="00523B9B" w:rsidP="00566C9B">
      <w:pPr>
        <w:spacing w:after="0" w:line="240" w:lineRule="auto"/>
      </w:pPr>
      <w:r>
        <w:separator/>
      </w:r>
    </w:p>
  </w:endnote>
  <w:endnote w:type="continuationSeparator" w:id="1">
    <w:p w:rsidR="00523B9B" w:rsidRDefault="00523B9B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9B" w:rsidRDefault="00523B9B" w:rsidP="00566C9B">
      <w:pPr>
        <w:spacing w:after="0" w:line="240" w:lineRule="auto"/>
      </w:pPr>
      <w:r>
        <w:separator/>
      </w:r>
    </w:p>
  </w:footnote>
  <w:footnote w:type="continuationSeparator" w:id="1">
    <w:p w:rsidR="00523B9B" w:rsidRDefault="00523B9B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24540"/>
    <w:rsid w:val="000A5010"/>
    <w:rsid w:val="000C4947"/>
    <w:rsid w:val="00150242"/>
    <w:rsid w:val="001C194E"/>
    <w:rsid w:val="001C2834"/>
    <w:rsid w:val="002119F2"/>
    <w:rsid w:val="00213481"/>
    <w:rsid w:val="002363A7"/>
    <w:rsid w:val="00355E97"/>
    <w:rsid w:val="0035723D"/>
    <w:rsid w:val="00380CFA"/>
    <w:rsid w:val="0038136E"/>
    <w:rsid w:val="00383559"/>
    <w:rsid w:val="003949BD"/>
    <w:rsid w:val="003C6FB6"/>
    <w:rsid w:val="004803EF"/>
    <w:rsid w:val="004F7668"/>
    <w:rsid w:val="00523B9B"/>
    <w:rsid w:val="0055301C"/>
    <w:rsid w:val="00566C9B"/>
    <w:rsid w:val="00584768"/>
    <w:rsid w:val="00586B4B"/>
    <w:rsid w:val="00594706"/>
    <w:rsid w:val="005B0455"/>
    <w:rsid w:val="005E43D4"/>
    <w:rsid w:val="005E5102"/>
    <w:rsid w:val="00642500"/>
    <w:rsid w:val="0075044F"/>
    <w:rsid w:val="00765C21"/>
    <w:rsid w:val="00780570"/>
    <w:rsid w:val="00782D8C"/>
    <w:rsid w:val="007E4738"/>
    <w:rsid w:val="008055D5"/>
    <w:rsid w:val="00826883"/>
    <w:rsid w:val="00876AA7"/>
    <w:rsid w:val="008B02CD"/>
    <w:rsid w:val="008E3050"/>
    <w:rsid w:val="009545C6"/>
    <w:rsid w:val="00961F34"/>
    <w:rsid w:val="009C40E7"/>
    <w:rsid w:val="009E4053"/>
    <w:rsid w:val="00AA0A17"/>
    <w:rsid w:val="00AA5433"/>
    <w:rsid w:val="00AE60F6"/>
    <w:rsid w:val="00B41343"/>
    <w:rsid w:val="00C40282"/>
    <w:rsid w:val="00C75ECC"/>
    <w:rsid w:val="00CA14C4"/>
    <w:rsid w:val="00CC045D"/>
    <w:rsid w:val="00D266BE"/>
    <w:rsid w:val="00D46FC6"/>
    <w:rsid w:val="00DB7F36"/>
    <w:rsid w:val="00DC4010"/>
    <w:rsid w:val="00E66D33"/>
    <w:rsid w:val="00ED756F"/>
    <w:rsid w:val="00F10491"/>
    <w:rsid w:val="00F96A87"/>
    <w:rsid w:val="00FB60DB"/>
    <w:rsid w:val="00FC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eso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dcterms:created xsi:type="dcterms:W3CDTF">2017-08-07T06:12:00Z</dcterms:created>
  <dcterms:modified xsi:type="dcterms:W3CDTF">2021-12-06T06:19:00Z</dcterms:modified>
</cp:coreProperties>
</file>